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6CBAC" w14:textId="7C6169E5" w:rsidR="00152B4A" w:rsidRPr="00314A47" w:rsidRDefault="00152B4A" w:rsidP="00314A47">
      <w:pPr>
        <w:pStyle w:val="NoSpacing"/>
        <w:spacing w:line="276" w:lineRule="auto"/>
        <w:jc w:val="both"/>
        <w:rPr>
          <w:rFonts w:ascii="Century Gothic" w:hAnsi="Century Gothic"/>
          <w:b/>
          <w:bCs/>
          <w:sz w:val="28"/>
          <w:szCs w:val="28"/>
          <w:lang w:eastAsia="en-NG"/>
        </w:rPr>
      </w:pPr>
      <w:r w:rsidRPr="00314A47">
        <w:rPr>
          <w:rFonts w:ascii="Century Gothic" w:hAnsi="Century Gothic"/>
          <w:b/>
          <w:bCs/>
          <w:sz w:val="28"/>
          <w:szCs w:val="28"/>
          <w:lang w:eastAsia="en-NG"/>
        </w:rPr>
        <w:t>FRC Hosts Stakeholder Engagement Session on Proposed Valuation Regulations</w:t>
      </w:r>
    </w:p>
    <w:p w14:paraId="230FABD0" w14:textId="77777777" w:rsidR="00314A47" w:rsidRPr="00314A47" w:rsidRDefault="00314A47" w:rsidP="00314A47">
      <w:pPr>
        <w:pStyle w:val="NoSpacing"/>
        <w:spacing w:line="276" w:lineRule="auto"/>
        <w:jc w:val="both"/>
        <w:rPr>
          <w:rFonts w:ascii="Century Gothic" w:hAnsi="Century Gothic"/>
          <w:b/>
          <w:bCs/>
          <w:lang w:eastAsia="en-NG"/>
        </w:rPr>
      </w:pPr>
    </w:p>
    <w:p w14:paraId="3A504E8A" w14:textId="5A0C86EB" w:rsidR="00152B4A" w:rsidRDefault="00314A47" w:rsidP="00314A47">
      <w:pPr>
        <w:pStyle w:val="NoSpacing"/>
        <w:spacing w:line="276" w:lineRule="auto"/>
        <w:jc w:val="center"/>
        <w:rPr>
          <w:rFonts w:ascii="Century Gothic" w:hAnsi="Century Gothic"/>
          <w:lang w:eastAsia="en-NG"/>
        </w:rPr>
      </w:pPr>
      <w:r w:rsidRPr="00314A47">
        <w:rPr>
          <w:noProof/>
        </w:rPr>
        <w:drawing>
          <wp:inline distT="0" distB="0" distL="0" distR="0" wp14:anchorId="2DA0D398" wp14:editId="0D054096">
            <wp:extent cx="4572000" cy="3047831"/>
            <wp:effectExtent l="0" t="0" r="0" b="635"/>
            <wp:docPr id="2057030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0307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2421" cy="305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D21C2" w14:textId="77777777" w:rsidR="00314A47" w:rsidRPr="00314A47" w:rsidRDefault="00314A47" w:rsidP="00314A47">
      <w:pPr>
        <w:pStyle w:val="NoSpacing"/>
        <w:spacing w:line="276" w:lineRule="auto"/>
        <w:jc w:val="center"/>
        <w:rPr>
          <w:rFonts w:ascii="Century Gothic" w:hAnsi="Century Gothic"/>
          <w:lang w:eastAsia="en-NG"/>
        </w:rPr>
      </w:pPr>
    </w:p>
    <w:p w14:paraId="35E1E1CB" w14:textId="706DB9D5" w:rsidR="00152B4A" w:rsidRPr="00314A47" w:rsidRDefault="00152B4A" w:rsidP="00314A47">
      <w:pPr>
        <w:pStyle w:val="NoSpacing"/>
        <w:spacing w:line="276" w:lineRule="auto"/>
        <w:jc w:val="both"/>
        <w:rPr>
          <w:rFonts w:ascii="Century Gothic" w:hAnsi="Century Gothic"/>
          <w:lang w:eastAsia="en-NG"/>
        </w:rPr>
      </w:pPr>
      <w:r w:rsidRPr="00314A47">
        <w:rPr>
          <w:rFonts w:ascii="Century Gothic" w:hAnsi="Century Gothic"/>
          <w:lang w:eastAsia="en-NG"/>
        </w:rPr>
        <w:t xml:space="preserve">The Financial Reporting Council </w:t>
      </w:r>
      <w:r w:rsidR="00722396">
        <w:rPr>
          <w:rFonts w:ascii="Century Gothic" w:hAnsi="Century Gothic"/>
          <w:lang w:eastAsia="en-NG"/>
        </w:rPr>
        <w:t xml:space="preserve">(FRC) </w:t>
      </w:r>
      <w:r w:rsidRPr="00314A47">
        <w:rPr>
          <w:rFonts w:ascii="Century Gothic" w:hAnsi="Century Gothic"/>
          <w:lang w:eastAsia="en-NG"/>
        </w:rPr>
        <w:t>of Nigeria held a Stakeholder Engagement Session at the Lagos Marriott Hotel, Ikeja GRA, on Friday, November 29, 2024, focusing on the Proposed Valuation Regulations for Financial Reporting.</w:t>
      </w:r>
    </w:p>
    <w:p w14:paraId="35A00489" w14:textId="77777777" w:rsidR="00152B4A" w:rsidRPr="00314A47" w:rsidRDefault="00152B4A" w:rsidP="00314A47">
      <w:pPr>
        <w:pStyle w:val="NoSpacing"/>
        <w:spacing w:line="276" w:lineRule="auto"/>
        <w:jc w:val="both"/>
        <w:rPr>
          <w:rFonts w:ascii="Century Gothic" w:hAnsi="Century Gothic"/>
          <w:lang w:eastAsia="en-NG"/>
        </w:rPr>
      </w:pPr>
    </w:p>
    <w:p w14:paraId="56DAC2CD" w14:textId="26A8C203" w:rsidR="00152B4A" w:rsidRPr="00314A47" w:rsidRDefault="00152B4A" w:rsidP="00314A47">
      <w:pPr>
        <w:pStyle w:val="NoSpacing"/>
        <w:spacing w:line="276" w:lineRule="auto"/>
        <w:jc w:val="both"/>
        <w:rPr>
          <w:rFonts w:ascii="Century Gothic" w:hAnsi="Century Gothic"/>
          <w:lang w:eastAsia="en-NG"/>
        </w:rPr>
      </w:pPr>
      <w:r w:rsidRPr="00314A47">
        <w:rPr>
          <w:rFonts w:ascii="Century Gothic" w:hAnsi="Century Gothic"/>
          <w:lang w:eastAsia="en-NG"/>
        </w:rPr>
        <w:t>In his keynote address, the Executive Secretary/CEO of the FRC, Dr. Rabiu Olowo, underscored the essential role of valuation in financial reporting. He stated:</w:t>
      </w:r>
    </w:p>
    <w:p w14:paraId="217013CF" w14:textId="77777777" w:rsidR="00152B4A" w:rsidRPr="00314A47" w:rsidRDefault="00152B4A" w:rsidP="00314A47">
      <w:pPr>
        <w:pStyle w:val="NoSpacing"/>
        <w:spacing w:line="276" w:lineRule="auto"/>
        <w:jc w:val="both"/>
        <w:rPr>
          <w:rFonts w:ascii="Century Gothic" w:hAnsi="Century Gothic"/>
          <w:lang w:eastAsia="en-NG"/>
        </w:rPr>
      </w:pPr>
    </w:p>
    <w:p w14:paraId="63B49DCD" w14:textId="1801AA65" w:rsidR="00152B4A" w:rsidRPr="00314A47" w:rsidRDefault="00152B4A" w:rsidP="00314A47">
      <w:pPr>
        <w:pStyle w:val="NoSpacing"/>
        <w:spacing w:line="276" w:lineRule="auto"/>
        <w:jc w:val="both"/>
        <w:rPr>
          <w:rFonts w:ascii="Century Gothic" w:hAnsi="Century Gothic"/>
          <w:lang w:eastAsia="en-NG"/>
        </w:rPr>
      </w:pPr>
      <w:r w:rsidRPr="00314A47">
        <w:rPr>
          <w:rFonts w:ascii="Century Gothic" w:hAnsi="Century Gothic"/>
          <w:lang w:eastAsia="en-NG"/>
        </w:rPr>
        <w:t>“Valuation is not merely an exercise of assigning a monetary value to assets or liabilities. It is an intricate process that requires rigorous methods, a deep understanding of market dynamics, and adherence to well-defined standards.”</w:t>
      </w:r>
    </w:p>
    <w:p w14:paraId="2316A4C1" w14:textId="77777777" w:rsidR="00152B4A" w:rsidRPr="00314A47" w:rsidRDefault="00152B4A" w:rsidP="00314A47">
      <w:pPr>
        <w:pStyle w:val="NoSpacing"/>
        <w:spacing w:line="276" w:lineRule="auto"/>
        <w:jc w:val="both"/>
        <w:rPr>
          <w:rFonts w:ascii="Century Gothic" w:hAnsi="Century Gothic"/>
          <w:lang w:eastAsia="en-NG"/>
        </w:rPr>
      </w:pPr>
    </w:p>
    <w:p w14:paraId="36BB4D71" w14:textId="77777777" w:rsidR="00152B4A" w:rsidRPr="00314A47" w:rsidRDefault="00152B4A" w:rsidP="00314A47">
      <w:pPr>
        <w:pStyle w:val="NoSpacing"/>
        <w:spacing w:line="276" w:lineRule="auto"/>
        <w:jc w:val="both"/>
        <w:rPr>
          <w:rFonts w:ascii="Century Gothic" w:hAnsi="Century Gothic"/>
          <w:lang w:eastAsia="en-NG"/>
        </w:rPr>
      </w:pPr>
      <w:r w:rsidRPr="00314A47">
        <w:rPr>
          <w:rFonts w:ascii="Century Gothic" w:hAnsi="Century Gothic"/>
          <w:lang w:eastAsia="en-NG"/>
        </w:rPr>
        <w:t>Dr. Olowo further highlighted the significance of the proposed regulations in promoting accountability and transparency in the valuation process, noting:</w:t>
      </w:r>
    </w:p>
    <w:p w14:paraId="4A96ACE9" w14:textId="77777777" w:rsidR="00152B4A" w:rsidRPr="00314A47" w:rsidRDefault="00152B4A" w:rsidP="00314A47">
      <w:pPr>
        <w:pStyle w:val="NoSpacing"/>
        <w:spacing w:line="276" w:lineRule="auto"/>
        <w:jc w:val="both"/>
        <w:rPr>
          <w:rFonts w:ascii="Century Gothic" w:hAnsi="Century Gothic"/>
          <w:lang w:eastAsia="en-NG"/>
        </w:rPr>
      </w:pPr>
    </w:p>
    <w:p w14:paraId="11743DB7" w14:textId="00EF6DD9" w:rsidR="00152B4A" w:rsidRPr="00314A47" w:rsidRDefault="00152B4A" w:rsidP="00314A47">
      <w:pPr>
        <w:pStyle w:val="NoSpacing"/>
        <w:spacing w:line="276" w:lineRule="auto"/>
        <w:jc w:val="both"/>
        <w:rPr>
          <w:rFonts w:ascii="Century Gothic" w:hAnsi="Century Gothic"/>
          <w:lang w:eastAsia="en-NG"/>
        </w:rPr>
      </w:pPr>
      <w:r w:rsidRPr="00314A47">
        <w:rPr>
          <w:rFonts w:ascii="Century Gothic" w:hAnsi="Century Gothic"/>
          <w:lang w:eastAsia="en-NG"/>
        </w:rPr>
        <w:t xml:space="preserve">“The proposed regulations are an important step forward in ensuring that valuations are conducted in a manner that upholds the principles of fairness, transparency, and accuracy. They provide a structured approach to valuation that will help standardize practices, mitigate risks associated with subjective </w:t>
      </w:r>
      <w:r w:rsidRPr="00314A47">
        <w:rPr>
          <w:rFonts w:ascii="Century Gothic" w:hAnsi="Century Gothic"/>
          <w:lang w:eastAsia="en-NG"/>
        </w:rPr>
        <w:lastRenderedPageBreak/>
        <w:t>judgment, and enhance the comparability of financial statements across entities and jurisdictions.”</w:t>
      </w:r>
    </w:p>
    <w:p w14:paraId="33704B81" w14:textId="77777777" w:rsidR="00152B4A" w:rsidRPr="00314A47" w:rsidRDefault="00152B4A" w:rsidP="00314A47">
      <w:pPr>
        <w:pStyle w:val="NoSpacing"/>
        <w:spacing w:line="276" w:lineRule="auto"/>
        <w:jc w:val="both"/>
        <w:rPr>
          <w:rFonts w:ascii="Century Gothic" w:hAnsi="Century Gothic"/>
          <w:lang w:eastAsia="en-NG"/>
        </w:rPr>
      </w:pPr>
    </w:p>
    <w:p w14:paraId="5AAE7784" w14:textId="714946FF" w:rsidR="00152B4A" w:rsidRPr="00314A47" w:rsidRDefault="00152B4A" w:rsidP="00314A47">
      <w:pPr>
        <w:pStyle w:val="NoSpacing"/>
        <w:spacing w:line="276" w:lineRule="auto"/>
        <w:jc w:val="both"/>
        <w:rPr>
          <w:rFonts w:ascii="Century Gothic" w:hAnsi="Century Gothic"/>
          <w:lang w:eastAsia="en-NG"/>
        </w:rPr>
      </w:pPr>
      <w:r w:rsidRPr="00314A47">
        <w:rPr>
          <w:rFonts w:ascii="Century Gothic" w:hAnsi="Century Gothic"/>
          <w:lang w:eastAsia="en-NG"/>
        </w:rPr>
        <w:t xml:space="preserve">The </w:t>
      </w:r>
      <w:r w:rsidR="00314A47" w:rsidRPr="00314A47">
        <w:rPr>
          <w:rFonts w:ascii="Century Gothic" w:hAnsi="Century Gothic"/>
          <w:lang w:eastAsia="en-NG"/>
        </w:rPr>
        <w:t xml:space="preserve">event </w:t>
      </w:r>
      <w:r w:rsidRPr="00314A47">
        <w:rPr>
          <w:rFonts w:ascii="Century Gothic" w:hAnsi="Century Gothic"/>
          <w:lang w:eastAsia="en-NG"/>
        </w:rPr>
        <w:t>included</w:t>
      </w:r>
      <w:r w:rsidR="00314A47" w:rsidRPr="00314A47">
        <w:rPr>
          <w:rFonts w:ascii="Century Gothic" w:hAnsi="Century Gothic"/>
          <w:lang w:eastAsia="en-NG"/>
        </w:rPr>
        <w:t xml:space="preserve"> a</w:t>
      </w:r>
      <w:r w:rsidRPr="00314A47">
        <w:rPr>
          <w:rFonts w:ascii="Century Gothic" w:hAnsi="Century Gothic"/>
          <w:lang w:eastAsia="en-NG"/>
        </w:rPr>
        <w:t xml:space="preserve">n Overview of the </w:t>
      </w:r>
      <w:r w:rsidR="00722396">
        <w:rPr>
          <w:rFonts w:ascii="Century Gothic" w:hAnsi="Century Gothic"/>
          <w:lang w:eastAsia="en-NG"/>
        </w:rPr>
        <w:t>p</w:t>
      </w:r>
      <w:r w:rsidRPr="00314A47">
        <w:rPr>
          <w:rFonts w:ascii="Century Gothic" w:hAnsi="Century Gothic"/>
          <w:lang w:eastAsia="en-NG"/>
        </w:rPr>
        <w:t xml:space="preserve">roposed </w:t>
      </w:r>
      <w:r w:rsidR="00722396">
        <w:rPr>
          <w:rFonts w:ascii="Century Gothic" w:hAnsi="Century Gothic"/>
          <w:lang w:eastAsia="en-NG"/>
        </w:rPr>
        <w:t>r</w:t>
      </w:r>
      <w:r w:rsidRPr="00314A47">
        <w:rPr>
          <w:rFonts w:ascii="Century Gothic" w:hAnsi="Century Gothic"/>
          <w:lang w:eastAsia="en-NG"/>
        </w:rPr>
        <w:t xml:space="preserve">egulation presented by </w:t>
      </w:r>
      <w:r w:rsidR="00314A47" w:rsidRPr="00314A47">
        <w:rPr>
          <w:rFonts w:ascii="Century Gothic" w:hAnsi="Century Gothic"/>
          <w:lang w:eastAsia="en-NG"/>
        </w:rPr>
        <w:t>E</w:t>
      </w:r>
      <w:r w:rsidRPr="00314A47">
        <w:rPr>
          <w:rFonts w:ascii="Century Gothic" w:hAnsi="Century Gothic"/>
          <w:lang w:eastAsia="en-NG"/>
        </w:rPr>
        <w:t xml:space="preserve">SV Olaniyi </w:t>
      </w:r>
      <w:proofErr w:type="spellStart"/>
      <w:r w:rsidRPr="00314A47">
        <w:rPr>
          <w:rFonts w:ascii="Century Gothic" w:hAnsi="Century Gothic"/>
          <w:lang w:eastAsia="en-NG"/>
        </w:rPr>
        <w:t>Fadoju</w:t>
      </w:r>
      <w:proofErr w:type="spellEnd"/>
      <w:r w:rsidRPr="00314A47">
        <w:rPr>
          <w:rFonts w:ascii="Century Gothic" w:hAnsi="Century Gothic"/>
          <w:lang w:eastAsia="en-NG"/>
        </w:rPr>
        <w:t>, Coordinator of the Technical Working Group (TWG)</w:t>
      </w:r>
      <w:r w:rsidR="00314A47" w:rsidRPr="00314A47">
        <w:rPr>
          <w:rFonts w:ascii="Century Gothic" w:hAnsi="Century Gothic"/>
          <w:lang w:eastAsia="en-NG"/>
        </w:rPr>
        <w:t xml:space="preserve">, a </w:t>
      </w:r>
      <w:r w:rsidRPr="00314A47">
        <w:rPr>
          <w:rFonts w:ascii="Century Gothic" w:hAnsi="Century Gothic"/>
          <w:lang w:eastAsia="en-NG"/>
        </w:rPr>
        <w:t xml:space="preserve">detailed overview of the Valuation Guide by Mr. Elijah </w:t>
      </w:r>
      <w:proofErr w:type="spellStart"/>
      <w:r w:rsidRPr="00314A47">
        <w:rPr>
          <w:rFonts w:ascii="Century Gothic" w:hAnsi="Century Gothic"/>
          <w:lang w:eastAsia="en-NG"/>
        </w:rPr>
        <w:t>Oladunmoye</w:t>
      </w:r>
      <w:proofErr w:type="spellEnd"/>
      <w:r w:rsidRPr="00314A47">
        <w:rPr>
          <w:rFonts w:ascii="Century Gothic" w:hAnsi="Century Gothic"/>
          <w:lang w:eastAsia="en-NG"/>
        </w:rPr>
        <w:t>, a member of the TWG</w:t>
      </w:r>
      <w:r w:rsidR="00314A47" w:rsidRPr="00314A47">
        <w:rPr>
          <w:rFonts w:ascii="Century Gothic" w:hAnsi="Century Gothic"/>
          <w:lang w:eastAsia="en-NG"/>
        </w:rPr>
        <w:t xml:space="preserve">, a </w:t>
      </w:r>
      <w:r w:rsidRPr="00314A47">
        <w:rPr>
          <w:rFonts w:ascii="Century Gothic" w:hAnsi="Century Gothic"/>
          <w:lang w:eastAsia="en-NG"/>
        </w:rPr>
        <w:t>Panel Discussion</w:t>
      </w:r>
      <w:r w:rsidR="00314A47" w:rsidRPr="00314A47">
        <w:rPr>
          <w:rFonts w:ascii="Century Gothic" w:hAnsi="Century Gothic"/>
          <w:lang w:eastAsia="en-NG"/>
        </w:rPr>
        <w:t xml:space="preserve"> and a</w:t>
      </w:r>
      <w:r w:rsidRPr="00314A47">
        <w:rPr>
          <w:rFonts w:ascii="Century Gothic" w:hAnsi="Century Gothic"/>
          <w:lang w:eastAsia="en-NG"/>
        </w:rPr>
        <w:t>n engaging Q&amp;A session, allowing stakeholders to provide invaluable feedback and suggestions.</w:t>
      </w:r>
    </w:p>
    <w:p w14:paraId="722BE375" w14:textId="77777777" w:rsidR="00152B4A" w:rsidRPr="00314A47" w:rsidRDefault="00152B4A" w:rsidP="00314A47">
      <w:pPr>
        <w:pStyle w:val="NoSpacing"/>
        <w:spacing w:line="276" w:lineRule="auto"/>
        <w:jc w:val="both"/>
        <w:rPr>
          <w:rFonts w:ascii="Century Gothic" w:hAnsi="Century Gothic"/>
          <w:lang w:eastAsia="en-NG"/>
        </w:rPr>
      </w:pPr>
    </w:p>
    <w:p w14:paraId="18C1FDE9" w14:textId="042618DA" w:rsidR="00152B4A" w:rsidRPr="00314A47" w:rsidRDefault="00152B4A" w:rsidP="00314A47">
      <w:pPr>
        <w:pStyle w:val="NoSpacing"/>
        <w:spacing w:line="276" w:lineRule="auto"/>
        <w:jc w:val="both"/>
        <w:rPr>
          <w:rFonts w:ascii="Century Gothic" w:hAnsi="Century Gothic"/>
          <w:lang w:eastAsia="en-NG"/>
        </w:rPr>
      </w:pPr>
      <w:r w:rsidRPr="00314A47">
        <w:rPr>
          <w:rFonts w:ascii="Century Gothic" w:hAnsi="Century Gothic"/>
          <w:lang w:eastAsia="en-NG"/>
        </w:rPr>
        <w:t>The Technical Working Group (TWG), comprising professionals from organizations such as NIESV, SEC, KPMG, PWC, Deloitte &amp; Touche, EY, NGX, ICAN, ANAN,</w:t>
      </w:r>
      <w:r w:rsidR="00314A47" w:rsidRPr="00314A47">
        <w:rPr>
          <w:rFonts w:ascii="Century Gothic" w:hAnsi="Century Gothic"/>
          <w:lang w:eastAsia="en-NG"/>
        </w:rPr>
        <w:t xml:space="preserve"> </w:t>
      </w:r>
      <w:r w:rsidRPr="00314A47">
        <w:rPr>
          <w:rFonts w:ascii="Century Gothic" w:hAnsi="Century Gothic"/>
          <w:lang w:eastAsia="en-NG"/>
        </w:rPr>
        <w:t>and FCCPC, showcased their expertise in drafting regulations that uphold fairness, integrity, and trust.</w:t>
      </w:r>
    </w:p>
    <w:p w14:paraId="6536979A" w14:textId="77777777" w:rsidR="00152B4A" w:rsidRPr="00314A47" w:rsidRDefault="00152B4A" w:rsidP="00314A47">
      <w:pPr>
        <w:pStyle w:val="NoSpacing"/>
        <w:spacing w:line="276" w:lineRule="auto"/>
        <w:jc w:val="both"/>
        <w:rPr>
          <w:rFonts w:ascii="Century Gothic" w:hAnsi="Century Gothic"/>
          <w:lang w:eastAsia="en-NG"/>
        </w:rPr>
      </w:pPr>
    </w:p>
    <w:p w14:paraId="77881C88" w14:textId="22A53777" w:rsidR="00152B4A" w:rsidRPr="00314A47" w:rsidRDefault="00152B4A" w:rsidP="00314A47">
      <w:pPr>
        <w:pStyle w:val="NoSpacing"/>
        <w:spacing w:line="276" w:lineRule="auto"/>
        <w:jc w:val="both"/>
        <w:rPr>
          <w:rFonts w:ascii="Century Gothic" w:hAnsi="Century Gothic"/>
        </w:rPr>
      </w:pPr>
      <w:r w:rsidRPr="00314A47">
        <w:rPr>
          <w:rFonts w:ascii="Century Gothic" w:hAnsi="Century Gothic"/>
          <w:lang w:eastAsia="en-NG"/>
        </w:rPr>
        <w:t xml:space="preserve">This </w:t>
      </w:r>
      <w:r w:rsidR="00314A47" w:rsidRPr="00314A47">
        <w:rPr>
          <w:rFonts w:ascii="Century Gothic" w:hAnsi="Century Gothic"/>
          <w:lang w:eastAsia="en-NG"/>
        </w:rPr>
        <w:t xml:space="preserve">event </w:t>
      </w:r>
      <w:r w:rsidRPr="00314A47">
        <w:rPr>
          <w:rFonts w:ascii="Century Gothic" w:hAnsi="Century Gothic"/>
          <w:lang w:eastAsia="en-NG"/>
        </w:rPr>
        <w:t xml:space="preserve">marks a pivotal moment in the development of valuation regulations, reinforcing the </w:t>
      </w:r>
      <w:proofErr w:type="spellStart"/>
      <w:r w:rsidRPr="00314A47">
        <w:rPr>
          <w:rFonts w:ascii="Century Gothic" w:hAnsi="Century Gothic"/>
          <w:lang w:eastAsia="en-NG"/>
        </w:rPr>
        <w:t>FRC's</w:t>
      </w:r>
      <w:proofErr w:type="spellEnd"/>
      <w:r w:rsidRPr="00314A47">
        <w:rPr>
          <w:rFonts w:ascii="Century Gothic" w:hAnsi="Century Gothic"/>
          <w:lang w:eastAsia="en-NG"/>
        </w:rPr>
        <w:t xml:space="preserve"> commitment to improving financial reporting standards across the nation.</w:t>
      </w:r>
    </w:p>
    <w:sectPr w:rsidR="00152B4A" w:rsidRPr="00314A4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A5F79" w14:textId="77777777" w:rsidR="00E76944" w:rsidRDefault="00E76944" w:rsidP="00314A47">
      <w:pPr>
        <w:spacing w:after="0" w:line="240" w:lineRule="auto"/>
      </w:pPr>
      <w:r>
        <w:separator/>
      </w:r>
    </w:p>
  </w:endnote>
  <w:endnote w:type="continuationSeparator" w:id="0">
    <w:p w14:paraId="6895BDF4" w14:textId="77777777" w:rsidR="00E76944" w:rsidRDefault="00E76944" w:rsidP="0031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9800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4BC2A1" w14:textId="6697458D" w:rsidR="00314A47" w:rsidRDefault="00314A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69C42" w14:textId="77777777" w:rsidR="00314A47" w:rsidRDefault="00314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80A57" w14:textId="77777777" w:rsidR="00E76944" w:rsidRDefault="00E76944" w:rsidP="00314A47">
      <w:pPr>
        <w:spacing w:after="0" w:line="240" w:lineRule="auto"/>
      </w:pPr>
      <w:r>
        <w:separator/>
      </w:r>
    </w:p>
  </w:footnote>
  <w:footnote w:type="continuationSeparator" w:id="0">
    <w:p w14:paraId="4FB87B64" w14:textId="77777777" w:rsidR="00E76944" w:rsidRDefault="00E76944" w:rsidP="00314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4A"/>
    <w:rsid w:val="00152B4A"/>
    <w:rsid w:val="00314A47"/>
    <w:rsid w:val="004C2F19"/>
    <w:rsid w:val="00691841"/>
    <w:rsid w:val="00722396"/>
    <w:rsid w:val="00A01083"/>
    <w:rsid w:val="00E7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65EC"/>
  <w15:chartTrackingRefBased/>
  <w15:docId w15:val="{2BC6124C-940C-4592-BD77-3A961E7B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B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14A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4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A47"/>
  </w:style>
  <w:style w:type="paragraph" w:styleId="Footer">
    <w:name w:val="footer"/>
    <w:basedOn w:val="Normal"/>
    <w:link w:val="FooterChar"/>
    <w:uiPriority w:val="99"/>
    <w:unhideWhenUsed/>
    <w:rsid w:val="00314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Azubuike</dc:creator>
  <cp:keywords/>
  <dc:description/>
  <cp:lastModifiedBy>Felix Azubuike</cp:lastModifiedBy>
  <cp:revision>2</cp:revision>
  <dcterms:created xsi:type="dcterms:W3CDTF">2024-12-10T18:21:00Z</dcterms:created>
  <dcterms:modified xsi:type="dcterms:W3CDTF">2024-12-20T14:48:00Z</dcterms:modified>
</cp:coreProperties>
</file>